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loha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 1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mskokatol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cka Cirkev.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Farnos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Kl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tor pod Znievom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Po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tov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adresa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A. Moyzesa 73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Mesto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Kl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tor pod Znievom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PS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03843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31939031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Kontaktn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osoba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Mgr. 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tefan H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ro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šš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, far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 xml:space="preserve">tel.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+421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908488556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e. mail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klastorpodznievom@fara.sk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CENOV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PONUKA</w:t>
      </w:r>
    </w:p>
    <w:p>
      <w:pPr>
        <w:pStyle w:val="Predvolené"/>
        <w:bidi w:val="0"/>
        <w:spacing w:after="20"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zov z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kazky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Kalv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ria v Kl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tore pod Znievom - projekt odvlhc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enia mur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v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Objekt: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Kalv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ria,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ú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p. c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̌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. 1003, 03843 Kl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tor pod Znievom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Ú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ZPF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563/1 - 8 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Predkladate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dlo uch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dza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a: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O: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Kontakt: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Realiz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cia pr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pravnej dokument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cie (suma v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€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)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Cena v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pt-PT"/>
        </w:rPr>
        <w:t>€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bez DPH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Cena s DPH</w:t>
      </w: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Baskerville" w:cs="Baskerville" w:hAnsi="Baskerville" w:eastAsia="Baskerville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0" w:line="280" w:lineRule="atLeast"/>
        <w:ind w:left="0" w:right="0" w:firstLine="0"/>
        <w:jc w:val="left"/>
        <w:rPr>
          <w:rFonts w:ascii="Baskerville" w:cs="Baskerville" w:hAnsi="Baskerville" w:eastAsia="Baskerville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Ak uch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dzac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 xml:space="preserve">̌ 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nie je platitel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om DPH, uvedie navrhovan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 xml:space="preserve">ú 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zmluvn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 xml:space="preserve">ú 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cenu celkom. Na skutoc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nost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e nie platitel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om DPH, upozorn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 xml:space="preserve">v ponuke </w:t>
      </w: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shd w:val="clear" w:color="auto" w:fill="ffffff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tl w:val="0"/>
        </w:rPr>
      </w:pP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D</w:t>
      </w:r>
      <w:r>
        <w:rPr>
          <w:rFonts w:ascii="Baskerville" w:hAnsi="Baskerville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Baskerville" w:hAnsi="Baskerville"/>
          <w:sz w:val="24"/>
          <w:szCs w:val="24"/>
          <w:shd w:val="clear" w:color="auto" w:fill="ffffff"/>
          <w:rtl w:val="0"/>
        </w:rPr>
        <w:t>tum:                                                                                                       Podpis: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